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69" w:rsidRPr="00471D4F" w:rsidRDefault="005D7274" w:rsidP="00471D4F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2614D" wp14:editId="7FFBBB42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DABACA" wp14:editId="183C9A26">
                                  <wp:extent cx="190500" cy="447040"/>
                                  <wp:effectExtent l="0" t="0" r="0" b="0"/>
                                  <wp:docPr id="2" name="Res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61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DABACA" wp14:editId="183C9A26">
                            <wp:extent cx="190500" cy="447040"/>
                            <wp:effectExtent l="0" t="0" r="0" b="0"/>
                            <wp:docPr id="2" name="Res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774BCF94" wp14:editId="326763AB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4F">
        <w:rPr>
          <w:rFonts w:ascii="Times New Roman" w:hAnsi="Times New Roman" w:cs="Times New Roman"/>
          <w:sz w:val="28"/>
          <w:szCs w:val="28"/>
        </w:rPr>
        <w:t xml:space="preserve">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HAZİNE VE MALİYE BAKANLIĞI</w:t>
      </w:r>
    </w:p>
    <w:p w:rsidR="00C91A69" w:rsidRPr="00471D4F" w:rsidRDefault="00534550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Özelleştirme İdaresi Başkanlığı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Sümer Holding A.Ş. Genel Müdürlüğü</w:t>
      </w:r>
    </w:p>
    <w:p w:rsidR="002C3F52" w:rsidRDefault="002C3F52" w:rsidP="002C3F52"/>
    <w:p w:rsidR="000118C4" w:rsidRDefault="00BE4F14" w:rsidP="0090022E">
      <w:pPr>
        <w:spacing w:after="120"/>
        <w:ind w:right="-57" w:firstLine="709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Ruhsat h</w:t>
      </w:r>
      <w:r w:rsidR="00C0014D">
        <w:rPr>
          <w:rFonts w:ascii="Times New Roman" w:hAnsi="Times New Roman" w:cs="Times New Roman"/>
          <w:lang w:eastAsia="tr-TR"/>
        </w:rPr>
        <w:t xml:space="preserve">ukuku </w:t>
      </w:r>
      <w:r w:rsidR="002C3F52" w:rsidRPr="000118C4">
        <w:rPr>
          <w:rFonts w:ascii="Times New Roman" w:hAnsi="Times New Roman" w:cs="Times New Roman"/>
          <w:lang w:eastAsia="tr-TR"/>
        </w:rPr>
        <w:t>S</w:t>
      </w:r>
      <w:r w:rsidR="00C0014D">
        <w:rPr>
          <w:rFonts w:ascii="Times New Roman" w:hAnsi="Times New Roman" w:cs="Times New Roman"/>
          <w:lang w:eastAsia="tr-TR"/>
        </w:rPr>
        <w:t>ümer</w:t>
      </w:r>
      <w:r w:rsidR="00FE492E">
        <w:rPr>
          <w:rFonts w:ascii="Times New Roman" w:hAnsi="Times New Roman" w:cs="Times New Roman"/>
          <w:lang w:eastAsia="tr-TR"/>
        </w:rPr>
        <w:t xml:space="preserve"> Holding A.Ş. Genel Müdürlüğü (Holding)’ne </w:t>
      </w:r>
      <w:r w:rsidR="00C0014D">
        <w:rPr>
          <w:rFonts w:ascii="Times New Roman" w:hAnsi="Times New Roman" w:cs="Times New Roman"/>
          <w:lang w:eastAsia="tr-TR"/>
        </w:rPr>
        <w:t xml:space="preserve">ait olan </w:t>
      </w:r>
      <w:r w:rsidR="00811FAC">
        <w:rPr>
          <w:rFonts w:ascii="Times New Roman" w:hAnsi="Times New Roman"/>
        </w:rPr>
        <w:t xml:space="preserve">Adana ili Feke ilçesi sınırlarında yer alan S.1613 ve Adana ili Karaisalı ilçesi sınırları içerisinde yer alan S.7793 </w:t>
      </w:r>
      <w:proofErr w:type="spellStart"/>
      <w:r w:rsidR="00811FAC">
        <w:rPr>
          <w:rFonts w:ascii="Times New Roman" w:hAnsi="Times New Roman"/>
        </w:rPr>
        <w:t>Attepe</w:t>
      </w:r>
      <w:proofErr w:type="spellEnd"/>
      <w:r w:rsidR="00811FAC">
        <w:rPr>
          <w:rFonts w:ascii="Times New Roman" w:hAnsi="Times New Roman"/>
        </w:rPr>
        <w:t xml:space="preserve"> I</w:t>
      </w:r>
      <w:r w:rsidR="002B5E1D">
        <w:rPr>
          <w:rFonts w:ascii="Times New Roman" w:hAnsi="Times New Roman"/>
        </w:rPr>
        <w:t>V. Grup (Demir) Maden sahaları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693"/>
        <w:gridCol w:w="2867"/>
      </w:tblGrid>
      <w:tr w:rsidR="002B5E1D" w:rsidTr="00041420">
        <w:tc>
          <w:tcPr>
            <w:tcW w:w="2835" w:type="dxa"/>
          </w:tcPr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İşletme Sahası, Mevkii ve Alanı  </w:t>
            </w:r>
          </w:p>
        </w:tc>
        <w:tc>
          <w:tcPr>
            <w:tcW w:w="2693" w:type="dxa"/>
          </w:tcPr>
          <w:p w:rsid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1.</w:t>
            </w:r>
          </w:p>
        </w:tc>
        <w:tc>
          <w:tcPr>
            <w:tcW w:w="2867" w:type="dxa"/>
          </w:tcPr>
          <w:p w:rsidR="002B5E1D" w:rsidRP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2.</w:t>
            </w:r>
          </w:p>
        </w:tc>
      </w:tr>
      <w:tr w:rsidR="002B5E1D" w:rsidTr="00041420">
        <w:tc>
          <w:tcPr>
            <w:tcW w:w="2835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İli: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İlçesi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Cinsi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Grubu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Sicil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Erişim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Yürürlük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Bitim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 Alanı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İzin Alanı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Ruhsatın Ait Olduğu Pafta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No.ları</w:t>
            </w:r>
            <w:proofErr w:type="spellEnd"/>
          </w:p>
        </w:tc>
        <w:tc>
          <w:tcPr>
            <w:tcW w:w="2693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Feke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-Demir (R:1526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1001278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1710,63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491,67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M35A2</w:t>
            </w:r>
          </w:p>
        </w:tc>
        <w:tc>
          <w:tcPr>
            <w:tcW w:w="2867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Karaisalı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Maden -Demir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(R:1697)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7793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1008817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698,99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698,99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M35A1 – M35A2</w:t>
            </w:r>
          </w:p>
        </w:tc>
      </w:tr>
    </w:tbl>
    <w:p w:rsidR="000118C4" w:rsidRDefault="000118C4" w:rsidP="0090022E">
      <w:pPr>
        <w:spacing w:before="120"/>
        <w:ind w:right="-57"/>
        <w:jc w:val="both"/>
        <w:rPr>
          <w:rFonts w:ascii="Times New Roman" w:hAnsi="Times New Roman" w:cs="Times New Roman"/>
          <w:lang w:eastAsia="tr-TR"/>
        </w:rPr>
      </w:pPr>
      <w:proofErr w:type="spellStart"/>
      <w:r>
        <w:rPr>
          <w:rFonts w:ascii="Times New Roman" w:hAnsi="Times New Roman" w:cs="Times New Roman"/>
          <w:lang w:eastAsia="tr-TR"/>
        </w:rPr>
        <w:t>rödovans</w:t>
      </w:r>
      <w:proofErr w:type="spellEnd"/>
      <w:r>
        <w:rPr>
          <w:rFonts w:ascii="Times New Roman" w:hAnsi="Times New Roman" w:cs="Times New Roman"/>
          <w:lang w:eastAsia="tr-TR"/>
        </w:rPr>
        <w:t xml:space="preserve"> sözleşmesi karşılığında </w:t>
      </w:r>
      <w:r w:rsidR="00482A1B">
        <w:rPr>
          <w:rFonts w:ascii="Times New Roman" w:hAnsi="Times New Roman" w:cs="Times New Roman"/>
          <w:lang w:eastAsia="tr-TR"/>
        </w:rPr>
        <w:t xml:space="preserve">işletilmek üzere </w:t>
      </w:r>
      <w:r w:rsidR="00FE492E">
        <w:rPr>
          <w:rFonts w:ascii="Times New Roman" w:hAnsi="Times New Roman" w:cs="Times New Roman"/>
          <w:lang w:eastAsia="tr-TR"/>
        </w:rPr>
        <w:t xml:space="preserve">bir bütün halinde, </w:t>
      </w:r>
      <w:r w:rsidR="00482A1B">
        <w:rPr>
          <w:rFonts w:ascii="Times New Roman" w:hAnsi="Times New Roman" w:cs="Times New Roman"/>
          <w:lang w:eastAsia="tr-TR"/>
        </w:rPr>
        <w:t xml:space="preserve">kapalı teklif usulü ile ihaleye çıkılmıştır. 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İhale, kapalı zarfla teklif almak ve teklif sahiplerinin katılımı ile yapılacak açık artırma suretiyle sonuçlandırılacaktır.</w:t>
      </w:r>
    </w:p>
    <w:p w:rsidR="002E0A25" w:rsidRPr="005237D5" w:rsidRDefault="00482A1B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4D00">
        <w:rPr>
          <w:rFonts w:ascii="Times New Roman" w:eastAsia="Times New Roman" w:hAnsi="Times New Roman" w:cs="Times New Roman"/>
          <w:lang w:eastAsia="tr-TR"/>
        </w:rPr>
        <w:t xml:space="preserve">İhaleye katılan </w:t>
      </w:r>
      <w:r w:rsidR="008B5AE0">
        <w:rPr>
          <w:rFonts w:ascii="Times New Roman" w:eastAsia="Times New Roman" w:hAnsi="Times New Roman" w:cs="Times New Roman"/>
          <w:lang w:eastAsia="tr-TR"/>
        </w:rPr>
        <w:t>teklif sahibinin</w:t>
      </w:r>
      <w:r w:rsidRPr="00524D00">
        <w:rPr>
          <w:rFonts w:ascii="Times New Roman" w:eastAsia="Times New Roman" w:hAnsi="Times New Roman" w:cs="Times New Roman"/>
          <w:lang w:eastAsia="tr-TR"/>
        </w:rPr>
        <w:t xml:space="preserve">, </w:t>
      </w:r>
      <w:r w:rsidR="008B5AE0">
        <w:rPr>
          <w:rFonts w:ascii="Times New Roman" w:eastAsia="Times New Roman" w:hAnsi="Times New Roman" w:cs="Times New Roman"/>
          <w:lang w:eastAsia="tr-TR"/>
        </w:rPr>
        <w:t>İhale Ş</w:t>
      </w:r>
      <w:r w:rsidRPr="00524D00">
        <w:rPr>
          <w:rFonts w:ascii="Times New Roman" w:eastAsia="Times New Roman" w:hAnsi="Times New Roman" w:cs="Times New Roman"/>
          <w:lang w:eastAsia="tr-TR"/>
        </w:rPr>
        <w:t>art</w:t>
      </w:r>
      <w:r w:rsidR="008B5AE0">
        <w:rPr>
          <w:rFonts w:ascii="Times New Roman" w:eastAsia="Times New Roman" w:hAnsi="Times New Roman" w:cs="Times New Roman"/>
          <w:lang w:eastAsia="tr-TR"/>
        </w:rPr>
        <w:t xml:space="preserve">namesine uygun teklif vermesi esas olup, </w:t>
      </w:r>
      <w:r w:rsidR="00FE492E">
        <w:rPr>
          <w:rFonts w:ascii="Times New Roman" w:eastAsia="Times New Roman" w:hAnsi="Times New Roman" w:cs="Times New Roman"/>
          <w:lang w:eastAsia="tr-TR"/>
        </w:rPr>
        <w:t>İhale Ş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lang w:eastAsia="tr-TR"/>
        </w:rPr>
        <w:t>si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 xml:space="preserve">nin 3. maddesinde belirtilen yeterlilik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alabilme </w:t>
      </w:r>
      <w:proofErr w:type="gramStart"/>
      <w:r w:rsidR="008B5AE0">
        <w:rPr>
          <w:rFonts w:ascii="Times New Roman" w:eastAsia="Times New Roman" w:hAnsi="Times New Roman" w:cs="Times New Roman"/>
          <w:lang w:eastAsia="tr-TR"/>
        </w:rPr>
        <w:t>kriterlerini</w:t>
      </w:r>
      <w:proofErr w:type="gramEnd"/>
      <w:r w:rsidR="008B5AE0">
        <w:rPr>
          <w:rFonts w:ascii="Times New Roman" w:eastAsia="Times New Roman" w:hAnsi="Times New Roman" w:cs="Times New Roman"/>
          <w:lang w:eastAsia="tr-TR"/>
        </w:rPr>
        <w:t xml:space="preserve"> 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(mali güç,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>deneyim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 ve personel durumu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) </w:t>
      </w:r>
      <w:r w:rsidR="008B5AE0">
        <w:rPr>
          <w:rFonts w:ascii="Times New Roman" w:eastAsia="Times New Roman" w:hAnsi="Times New Roman" w:cs="Times New Roman"/>
          <w:lang w:eastAsia="tr-TR"/>
        </w:rPr>
        <w:t>haiz olması gerekmektedir.</w:t>
      </w:r>
    </w:p>
    <w:p w:rsidR="002E0A25" w:rsidRPr="00D45706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ye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katılacak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sahiplerinin İhale Şartnamesi alması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zorunlu olup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teklif</w:t>
      </w:r>
      <w:r w:rsidR="00744E6A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birlikte İhale Ş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sin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 istenilen belgeleri Holding</w:t>
      </w:r>
      <w:r w:rsidR="0080396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362139">
        <w:rPr>
          <w:rFonts w:ascii="Times New Roman" w:hAnsi="Times New Roman" w:cs="Times New Roman"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d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son teklif verme tarihi 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olan 1</w:t>
      </w:r>
      <w:r w:rsidR="0090022E">
        <w:rPr>
          <w:rFonts w:ascii="Times New Roman" w:eastAsia="Times New Roman" w:hAnsi="Times New Roman" w:cs="Times New Roman"/>
          <w:color w:val="000000" w:themeColor="text1"/>
          <w:lang w:eastAsia="tr-TR"/>
        </w:rPr>
        <w:t>0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.12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.2024 tarih,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saat 16.00’ya kadar 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92731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enel Evrak servisine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teslim etmesi zorunludur.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Belirtilen tarihten sonra verilecek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klifler dikkate alınmayacaktır.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20.000.- (</w:t>
      </w:r>
      <w:proofErr w:type="spellStart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yirmibin</w:t>
      </w:r>
      <w:proofErr w:type="spellEnd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) TL’</w:t>
      </w:r>
      <w:r w:rsidR="00E35D4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dir. </w:t>
      </w:r>
      <w:r w:rsidR="00FE492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Şartname bedeli;</w:t>
      </w:r>
    </w:p>
    <w:p w:rsidR="002E0A25" w:rsidRPr="00362139" w:rsidRDefault="002E0A25" w:rsidP="00874B8A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2E0A25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TR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29 0021 1000 0006</w:t>
      </w:r>
      <w:r w:rsidR="00BE4F14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Emlak Katılım Bankası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Kızılay Şubesi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</w:t>
      </w:r>
      <w:r w:rsidR="00F521EE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FA3736">
        <w:rPr>
          <w:rFonts w:ascii="Times New Roman" w:eastAsia="Times New Roman" w:hAnsi="Times New Roman" w:cs="Times New Roman"/>
          <w:color w:val="000000" w:themeColor="text1"/>
          <w:lang w:eastAsia="tr-TR"/>
        </w:rPr>
        <w:t>eklif sahibinin</w:t>
      </w:r>
      <w:r w:rsidR="00B4015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Şartname Bedeli</w:t>
      </w:r>
    </w:p>
    <w:p w:rsidR="002E0A25" w:rsidRPr="00362139" w:rsidRDefault="002E0A25" w:rsidP="006932EB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yukarıda belirtilen banka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hesabına yatırılacaktır. İhale Şartnamesi almak için ödenmiş tutarlar her ne surette olursa olsun iade edilmez. (İhaleye teklif verenin O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rtak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irişim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rubu (OGG)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olması halinde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 ve ekleri,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banka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alındı belgesi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nda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Holdingin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Ba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hçekapı Mah. Atatürk Orman Çiftliği </w:t>
      </w:r>
      <w:proofErr w:type="spellStart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Kümeevleri</w:t>
      </w:r>
      <w:proofErr w:type="spell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No:4 06797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adresinden elden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min edilecektir.</w:t>
      </w:r>
    </w:p>
    <w:p w:rsidR="00D72C67" w:rsidRPr="000F7880" w:rsidRDefault="000F7880" w:rsidP="000F78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sahiplerinden ihaley</w:t>
      </w:r>
      <w:r w:rsidR="002E0A2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katılabilmek için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Türk Lirası veya teminat mektubu/mektupları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alınacaktır.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geçici teminatı 5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00.000,- (</w:t>
      </w:r>
      <w:proofErr w:type="spellStart"/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>beş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yüzbin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) TL</w:t>
      </w:r>
      <w:r w:rsidR="008C49C2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:rsidR="006932EB" w:rsidRPr="00362139" w:rsidRDefault="002E0A25" w:rsidP="00D72C67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 bedelinin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nakit olarak getirilmesi durumunda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6932EB" w:rsidRPr="00362139" w:rsidRDefault="00B140CC" w:rsidP="006932EB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Alıcı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: Sümer</w:t>
      </w:r>
      <w:proofErr w:type="gramEnd"/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6932EB" w:rsidRPr="00362139" w:rsidRDefault="0056710B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DD3868">
        <w:rPr>
          <w:rFonts w:ascii="Times New Roman" w:eastAsia="Times New Roman" w:hAnsi="Times New Roman" w:cs="Times New Roman"/>
          <w:color w:val="000000" w:themeColor="text1"/>
          <w:lang w:eastAsia="tr-TR"/>
        </w:rPr>
        <w:t>TR 29 0021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1000 0006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(T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ürkiye Emlak Katılım Bankası Kızılay Şubesi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5871BF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atılacak </w:t>
      </w:r>
      <w:r w:rsidR="00B21F7D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sahibinin</w:t>
      </w:r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İhalesine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İlişkin </w:t>
      </w:r>
      <w:r w:rsidR="00D65AC2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</w:t>
      </w:r>
      <w:r w:rsidR="008F559A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Teminat Bedeli</w:t>
      </w:r>
    </w:p>
    <w:p w:rsidR="006932EB" w:rsidRPr="00362139" w:rsidRDefault="006932EB" w:rsidP="006932E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</w:t>
      </w:r>
      <w:r w:rsidR="00B140C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ing’in hesabına yatırılacaktır.</w:t>
      </w:r>
    </w:p>
    <w:p w:rsidR="00B17DDC" w:rsidRDefault="00B97F5F" w:rsidP="00B17DDC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eminat mektup/mektupları, Bankacılık Düzenleme ve Denetleme Kurumu ve/veya Hazine ve Maliye Bakanlığınca teminat mektubu vermeye yetkili olduğu belirlenen bankaların (mevduat bankaları, katılım bankaları ile kalkınma ve yatırım bankalarının) vereceği ve Holding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’ce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kabul edilecek nitelikte Holding lehine, İsmi/Unvanı ve konusu da belirtilerek düzenlenmiş, gayri kabili rücu, kayıtsız şartsız, ilk talepte ödemeli, süresiz olacaktır.</w:t>
      </w:r>
      <w:r w:rsidR="00520F1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gramEnd"/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>tir.</w:t>
      </w:r>
    </w:p>
    <w:p w:rsidR="00B63D60" w:rsidRPr="00362139" w:rsidRDefault="00B4015A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İ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hale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5E1D">
        <w:rPr>
          <w:rFonts w:ascii="Times New Roman" w:eastAsia="Times New Roman" w:hAnsi="Times New Roman" w:cs="Times New Roman"/>
          <w:color w:val="000000" w:themeColor="text1"/>
          <w:lang w:eastAsia="tr-TR"/>
        </w:rPr>
        <w:t>işlemleri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2886 sayılı Devlet İhale Kanununa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tabi olmayıp,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ihaleyi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yapıp yapmamakta ve/veya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iptal etmekte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serbesttir.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ile ilgili diğer hususlar İhale Şartname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sinde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almaktadır.</w:t>
      </w:r>
    </w:p>
    <w:p w:rsidR="00B63D60" w:rsidRPr="00362139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866A9">
        <w:rPr>
          <w:rFonts w:ascii="Times New Roman" w:eastAsia="Times New Roman" w:hAnsi="Times New Roman" w:cs="Times New Roman"/>
          <w:color w:val="000000" w:themeColor="text1"/>
          <w:lang w:eastAsia="tr-TR"/>
        </w:rPr>
        <w:t>ye ilişkin daha fazla bilgi 0312-310 38 30/3740 no.lu telefondan alınabilir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2E0A25" w:rsidRDefault="002E0A25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8E600D" w:rsidRPr="00362139" w:rsidRDefault="008E600D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362139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3621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362139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362139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362139" w:rsidRDefault="00FF15D5" w:rsidP="002A208F">
      <w:pPr>
        <w:jc w:val="center"/>
        <w:rPr>
          <w:rFonts w:ascii="Times New Roman" w:hAnsi="Times New Roman" w:cs="Times New Roman"/>
          <w:color w:val="000000" w:themeColor="text1"/>
        </w:rPr>
      </w:pPr>
      <w:hyperlink r:id="rId10" w:history="1">
        <w:r w:rsidR="008E600D" w:rsidRPr="00362139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CD2774" w:rsidRPr="00362139" w:rsidRDefault="00CD2774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CD2774" w:rsidRPr="00362139" w:rsidSect="0032401D">
      <w:headerReference w:type="default" r:id="rId11"/>
      <w:pgSz w:w="11906" w:h="16838"/>
      <w:pgMar w:top="284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D5" w:rsidRDefault="00FF15D5" w:rsidP="00C91A69">
      <w:r>
        <w:separator/>
      </w:r>
    </w:p>
  </w:endnote>
  <w:endnote w:type="continuationSeparator" w:id="0">
    <w:p w:rsidR="00FF15D5" w:rsidRDefault="00FF15D5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D5" w:rsidRDefault="00FF15D5" w:rsidP="00C91A69">
      <w:r>
        <w:separator/>
      </w:r>
    </w:p>
  </w:footnote>
  <w:footnote w:type="continuationSeparator" w:id="0">
    <w:p w:rsidR="00FF15D5" w:rsidRDefault="00FF15D5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72B"/>
    <w:multiLevelType w:val="hybridMultilevel"/>
    <w:tmpl w:val="CA1A03A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4F33F5"/>
    <w:multiLevelType w:val="multilevel"/>
    <w:tmpl w:val="10B8E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2"/>
    <w:rsid w:val="000118C4"/>
    <w:rsid w:val="00041420"/>
    <w:rsid w:val="0005208B"/>
    <w:rsid w:val="000D593C"/>
    <w:rsid w:val="000F7880"/>
    <w:rsid w:val="00122CA3"/>
    <w:rsid w:val="00122D3B"/>
    <w:rsid w:val="00180EF5"/>
    <w:rsid w:val="00197401"/>
    <w:rsid w:val="001B2F89"/>
    <w:rsid w:val="001E0998"/>
    <w:rsid w:val="001E47C6"/>
    <w:rsid w:val="00232CCD"/>
    <w:rsid w:val="00251348"/>
    <w:rsid w:val="002A208F"/>
    <w:rsid w:val="002B25E4"/>
    <w:rsid w:val="002B5E1D"/>
    <w:rsid w:val="002B6E7E"/>
    <w:rsid w:val="002C0AF9"/>
    <w:rsid w:val="002C3F52"/>
    <w:rsid w:val="002D01CA"/>
    <w:rsid w:val="002E079E"/>
    <w:rsid w:val="002E0A25"/>
    <w:rsid w:val="0030290D"/>
    <w:rsid w:val="003056B7"/>
    <w:rsid w:val="0032401D"/>
    <w:rsid w:val="00362139"/>
    <w:rsid w:val="003667D5"/>
    <w:rsid w:val="00374F9E"/>
    <w:rsid w:val="00384A48"/>
    <w:rsid w:val="003866A9"/>
    <w:rsid w:val="00395E4B"/>
    <w:rsid w:val="003A0807"/>
    <w:rsid w:val="003A1D80"/>
    <w:rsid w:val="003A26C6"/>
    <w:rsid w:val="004124DD"/>
    <w:rsid w:val="004138B0"/>
    <w:rsid w:val="00461E37"/>
    <w:rsid w:val="00470C94"/>
    <w:rsid w:val="00471D4F"/>
    <w:rsid w:val="00475851"/>
    <w:rsid w:val="00482A1B"/>
    <w:rsid w:val="004918FB"/>
    <w:rsid w:val="004F1202"/>
    <w:rsid w:val="004F688D"/>
    <w:rsid w:val="00512766"/>
    <w:rsid w:val="00520F10"/>
    <w:rsid w:val="005237D5"/>
    <w:rsid w:val="00524D00"/>
    <w:rsid w:val="00534550"/>
    <w:rsid w:val="0056710B"/>
    <w:rsid w:val="00582FF1"/>
    <w:rsid w:val="00583646"/>
    <w:rsid w:val="005871BF"/>
    <w:rsid w:val="00597B96"/>
    <w:rsid w:val="005B77EE"/>
    <w:rsid w:val="005C3CA7"/>
    <w:rsid w:val="005D7274"/>
    <w:rsid w:val="005E1BD3"/>
    <w:rsid w:val="005F539D"/>
    <w:rsid w:val="005F7D1A"/>
    <w:rsid w:val="00604983"/>
    <w:rsid w:val="006932EB"/>
    <w:rsid w:val="00731AA8"/>
    <w:rsid w:val="0073568A"/>
    <w:rsid w:val="00744E6A"/>
    <w:rsid w:val="00770129"/>
    <w:rsid w:val="00784A00"/>
    <w:rsid w:val="007A740F"/>
    <w:rsid w:val="007C2E2F"/>
    <w:rsid w:val="007D0DA3"/>
    <w:rsid w:val="0080396B"/>
    <w:rsid w:val="00811FAC"/>
    <w:rsid w:val="0081676A"/>
    <w:rsid w:val="00822F88"/>
    <w:rsid w:val="008313E9"/>
    <w:rsid w:val="00843AF7"/>
    <w:rsid w:val="00874B8A"/>
    <w:rsid w:val="008B0296"/>
    <w:rsid w:val="008B5AE0"/>
    <w:rsid w:val="008C0857"/>
    <w:rsid w:val="008C49C2"/>
    <w:rsid w:val="008E600D"/>
    <w:rsid w:val="008F559A"/>
    <w:rsid w:val="0090022E"/>
    <w:rsid w:val="00924B95"/>
    <w:rsid w:val="00927316"/>
    <w:rsid w:val="00942B48"/>
    <w:rsid w:val="00956B13"/>
    <w:rsid w:val="00A17862"/>
    <w:rsid w:val="00A25F09"/>
    <w:rsid w:val="00A77867"/>
    <w:rsid w:val="00AB4F91"/>
    <w:rsid w:val="00AC2F21"/>
    <w:rsid w:val="00B140CC"/>
    <w:rsid w:val="00B17DDC"/>
    <w:rsid w:val="00B21F7D"/>
    <w:rsid w:val="00B4015A"/>
    <w:rsid w:val="00B431CE"/>
    <w:rsid w:val="00B63D60"/>
    <w:rsid w:val="00B80D42"/>
    <w:rsid w:val="00B97F5F"/>
    <w:rsid w:val="00BA6FF4"/>
    <w:rsid w:val="00BB0FF3"/>
    <w:rsid w:val="00BE4F14"/>
    <w:rsid w:val="00C0014D"/>
    <w:rsid w:val="00C43F85"/>
    <w:rsid w:val="00C50758"/>
    <w:rsid w:val="00C742BD"/>
    <w:rsid w:val="00C812A1"/>
    <w:rsid w:val="00C8362C"/>
    <w:rsid w:val="00C91A69"/>
    <w:rsid w:val="00CD2774"/>
    <w:rsid w:val="00CE23DA"/>
    <w:rsid w:val="00CE3638"/>
    <w:rsid w:val="00CF2013"/>
    <w:rsid w:val="00CF31B8"/>
    <w:rsid w:val="00CF3A87"/>
    <w:rsid w:val="00D078E2"/>
    <w:rsid w:val="00D15B31"/>
    <w:rsid w:val="00D2238B"/>
    <w:rsid w:val="00D45706"/>
    <w:rsid w:val="00D61FA4"/>
    <w:rsid w:val="00D65AC2"/>
    <w:rsid w:val="00D72C67"/>
    <w:rsid w:val="00D8580F"/>
    <w:rsid w:val="00D86643"/>
    <w:rsid w:val="00D96FDC"/>
    <w:rsid w:val="00DD3868"/>
    <w:rsid w:val="00DE38B9"/>
    <w:rsid w:val="00DF016E"/>
    <w:rsid w:val="00DF592A"/>
    <w:rsid w:val="00E00A50"/>
    <w:rsid w:val="00E16466"/>
    <w:rsid w:val="00E24E2A"/>
    <w:rsid w:val="00E24F80"/>
    <w:rsid w:val="00E35D49"/>
    <w:rsid w:val="00E76807"/>
    <w:rsid w:val="00E931C0"/>
    <w:rsid w:val="00EB7A85"/>
    <w:rsid w:val="00F068A5"/>
    <w:rsid w:val="00F408EE"/>
    <w:rsid w:val="00F45DA8"/>
    <w:rsid w:val="00F46D3A"/>
    <w:rsid w:val="00F521EE"/>
    <w:rsid w:val="00F57736"/>
    <w:rsid w:val="00FA3736"/>
    <w:rsid w:val="00FD6068"/>
    <w:rsid w:val="00FE492E"/>
    <w:rsid w:val="00FE51A5"/>
    <w:rsid w:val="00FE5EE6"/>
    <w:rsid w:val="00FF15D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C249B-CA88-4AD5-A227-81D1DF45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merholding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1CC7-8C3D-47A2-BE4A-FBEE2B8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Betül Seyrek</cp:lastModifiedBy>
  <cp:revision>2</cp:revision>
  <cp:lastPrinted>2024-11-05T11:35:00Z</cp:lastPrinted>
  <dcterms:created xsi:type="dcterms:W3CDTF">2024-11-14T08:02:00Z</dcterms:created>
  <dcterms:modified xsi:type="dcterms:W3CDTF">2024-11-14T08:02:00Z</dcterms:modified>
</cp:coreProperties>
</file>